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5A8F29"/>
          <w:sz w:val="20"/>
          <w:szCs w:val="20"/>
        </w:rPr>
        <w:t xml:space="preserve">DYNACO EUROPE NV</w:t>
      </w:r>
    </w:p>
    <w:p>
      <w:pPr>
        <w:pBdr>
          <w:bottom w:val="single" w:color="5A8F29" w:sz="6" w:space="6"/>
        </w:pBdr>
        <w:spacing w:after="260"/>
      </w:pPr>
      <w:r>
        <w:rPr>
          <w:b/>
          <w:bCs/>
          <w:sz w:val="34"/>
          <w:szCs w:val="34"/>
        </w:rPr>
        <w:t xml:space="preserve">Datenschutzerklärung — Dynaco Cashback-Kampagne für den Türenaustausch</w:t>
      </w:r>
    </w:p>
    <w:p>
      <w:pPr>
        <w:spacing w:after="160" w:line="276"/>
      </w:pPr>
      <w:r>
        <w:rPr>
          <w:sz w:val="21"/>
          <w:szCs w:val="21"/>
        </w:rPr>
        <w:t xml:space="preserve">Diese Datenschutzerklärung erläutert, wie die Dynaco Europe NV („Dynaco Europe“, „wir“) die personenbezogenen Daten von Endkunden verarbeitet, die im Rahmen der Dynaco Cashback-Kampagne für den Türenaustausch (die „Kampagne“) einen Antrag stellen. Die Kampagne läuft vom 1. Oktober bis 31. Dezember 2026 in Frankreich, Deutschland und Spanien. Diese Erklärung ist zusammen mit den Kampagnenbedingungen zu lesen und ergänzt die allgemeine Datenschutzerklärung von Dynaco Europe.</w:t>
      </w:r>
    </w:p>
    <w:p>
      <w:pPr>
        <w:pStyle w:val="Heading1"/>
        <w:spacing w:after="120" w:before="280"/>
      </w:pPr>
      <w:r>
        <w:rPr>
          <w:b/>
          <w:bCs/>
          <w:color w:val="5A8F29"/>
          <w:sz w:val="26"/>
          <w:szCs w:val="26"/>
        </w:rPr>
        <w:t xml:space="preserve">1. Verantwortlicher</w:t>
      </w:r>
    </w:p>
    <w:p>
      <w:pPr>
        <w:spacing w:after="160" w:line="276"/>
      </w:pPr>
      <w:r>
        <w:rPr>
          <w:sz w:val="21"/>
          <w:szCs w:val="21"/>
        </w:rPr>
        <w:t xml:space="preserve">Die Dynaco Europe NV (Unternehmensnummer BE0439.752.567), Waverstraat 21, 9310 Moorsel, Belgien, ist der Verantwortliche für die im Rahmen der Kampagne verarbeiteten personenbezogenen Daten. Bei Fragen zu dieser Erklärung oder zur Ausübung Ihrer Rechte wenden Sie sich bitte an privacy@dynacodoor.com bzw. bei Fragen zu einem konkreten Antrag an cashback@dynacodoor.com. Diese Erklärung ergänzt die allgemeine Datenschutzerklärung von Dynaco Europe, abrufbar unter dynacodoor.com/en/privacy-center/privacy-policy.</w:t>
      </w:r>
    </w:p>
    <w:p>
      <w:pPr>
        <w:pStyle w:val="Heading1"/>
        <w:spacing w:after="120" w:before="280"/>
      </w:pPr>
      <w:r>
        <w:rPr>
          <w:b/>
          <w:bCs/>
          <w:color w:val="5A8F29"/>
          <w:sz w:val="26"/>
          <w:szCs w:val="26"/>
        </w:rPr>
        <w:t xml:space="preserve">2. Welche personenbezogenen Daten erheben wir?</w:t>
      </w:r>
    </w:p>
    <w:p>
      <w:pPr>
        <w:spacing w:after="160" w:line="276"/>
      </w:pPr>
      <w:r>
        <w:rPr>
          <w:sz w:val="21"/>
          <w:szCs w:val="21"/>
        </w:rPr>
        <w:t xml:space="preserve">Wenn Sie einen Cashback-Antrag stellen, erheben wir die folgenden personenbezogenen Daten gemäß Artikel 6.2 der Kampagnenbedingungen:</w:t>
      </w:r>
    </w:p>
    <w:p>
      <w:pPr>
        <w:pStyle w:val="ListParagraph"/>
        <w:numPr>
          <w:ilvl w:val="0"/>
          <w:numId w:val="2"/>
        </w:numPr>
        <w:spacing w:after="60" w:line="276"/>
      </w:pPr>
      <w:r>
        <w:rPr>
          <w:sz w:val="21"/>
          <w:szCs w:val="21"/>
        </w:rPr>
        <w:t xml:space="preserve">Identifikationsdaten: Name, Firmenname (falls zutreffend), Postanschrift, E-Mail-Adresse, USt-IdNr. (falls zutreffend)</w:t>
      </w:r>
    </w:p>
    <w:p>
      <w:pPr>
        <w:pStyle w:val="ListParagraph"/>
        <w:numPr>
          <w:ilvl w:val="0"/>
          <w:numId w:val="2"/>
        </w:numPr>
        <w:spacing w:after="60" w:line="276"/>
      </w:pPr>
      <w:r>
        <w:rPr>
          <w:sz w:val="21"/>
          <w:szCs w:val="21"/>
        </w:rPr>
        <w:t xml:space="preserve">Zahlungsdaten: IBAN, BIC und Name des Kontoinhabers</w:t>
      </w:r>
    </w:p>
    <w:p>
      <w:pPr>
        <w:pStyle w:val="ListParagraph"/>
        <w:numPr>
          <w:ilvl w:val="0"/>
          <w:numId w:val="2"/>
        </w:numPr>
        <w:spacing w:after="60" w:line="276"/>
      </w:pPr>
      <w:r>
        <w:rPr>
          <w:sz w:val="21"/>
          <w:szCs w:val="21"/>
        </w:rPr>
        <w:t xml:space="preserve">Produktdaten: die Seriennummer der ausgetauschten Tür und die Seriennummer der neuen Tür</w:t>
      </w:r>
    </w:p>
    <w:p>
      <w:pPr>
        <w:pStyle w:val="ListParagraph"/>
        <w:numPr>
          <w:ilvl w:val="0"/>
          <w:numId w:val="2"/>
        </w:numPr>
        <w:spacing w:after="60" w:line="276"/>
      </w:pPr>
      <w:r>
        <w:rPr>
          <w:sz w:val="21"/>
          <w:szCs w:val="21"/>
        </w:rPr>
        <w:t xml:space="preserve">Fotografischer Nachweis: ein Foto der alten Tür vor dem Ausbau und ein Foto der neuen Tür nach der Installation</w:t>
      </w:r>
    </w:p>
    <w:p>
      <w:pPr>
        <w:spacing w:after="160" w:line="276"/>
      </w:pPr>
      <w:r>
        <w:rPr>
          <w:sz w:val="21"/>
          <w:szCs w:val="21"/>
        </w:rPr>
        <w:t xml:space="preserve">Alle Identifikationsangaben müssen dem Endkunden (dem Eigentümer/Betreiber der Tür) gehören und nicht einem Händler, Vertriebspartner oder Installateur, der den Antrag im Namen des Endkunden einreicht.</w:t>
      </w:r>
    </w:p>
    <w:p>
      <w:pPr>
        <w:pStyle w:val="Heading1"/>
        <w:spacing w:after="120" w:before="280"/>
      </w:pPr>
      <w:r>
        <w:rPr>
          <w:b/>
          <w:bCs/>
          <w:color w:val="5A8F29"/>
          <w:sz w:val="26"/>
          <w:szCs w:val="26"/>
        </w:rPr>
        <w:t xml:space="preserve">3. Zwecke und Rechtsgrundlage der Verarbeitung</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200"/>
        <w:gridCol w:w="3300"/>
        <w:gridCol w:w="3000"/>
      </w:tblGrid>
      <w:tr>
        <w:tc>
          <w:tcPr>
            <w:tcW w:type="dxa" w:w="3200"/>
            <w:shd w:fill="EDF3E4" w:val="clear"/>
            <w:tcMar>
              <w:top w:type="dxa" w:w="80"/>
              <w:left w:type="dxa" w:w="100"/>
              <w:bottom w:type="dxa" w:w="80"/>
              <w:right w:type="dxa" w:w="100"/>
            </w:tcMar>
          </w:tcPr>
          <w:p>
            <w:r>
              <w:rPr>
                <w:b/>
                <w:bCs/>
                <w:sz w:val="20"/>
                <w:szCs w:val="20"/>
              </w:rPr>
              <w:t xml:space="preserve">Zweck</w:t>
            </w:r>
          </w:p>
        </w:tc>
        <w:tc>
          <w:tcPr>
            <w:tcW w:type="dxa" w:w="3300"/>
            <w:shd w:fill="EDF3E4" w:val="clear"/>
            <w:tcMar>
              <w:top w:type="dxa" w:w="80"/>
              <w:left w:type="dxa" w:w="100"/>
              <w:bottom w:type="dxa" w:w="80"/>
              <w:right w:type="dxa" w:w="100"/>
            </w:tcMar>
          </w:tcPr>
          <w:p>
            <w:r>
              <w:rPr>
                <w:b/>
                <w:bCs/>
                <w:sz w:val="20"/>
                <w:szCs w:val="20"/>
              </w:rPr>
              <w:t xml:space="preserve">Rechtsgrundlage</w:t>
            </w:r>
          </w:p>
        </w:tc>
        <w:tc>
          <w:tcPr>
            <w:tcW w:type="dxa" w:w="3000"/>
            <w:shd w:fill="EDF3E4" w:val="clear"/>
            <w:tcMar>
              <w:top w:type="dxa" w:w="80"/>
              <w:left w:type="dxa" w:w="100"/>
              <w:bottom w:type="dxa" w:w="80"/>
              <w:right w:type="dxa" w:w="100"/>
            </w:tcMar>
          </w:tcPr>
          <w:p>
            <w:r>
              <w:rPr>
                <w:b/>
                <w:bCs/>
                <w:sz w:val="20"/>
                <w:szCs w:val="20"/>
              </w:rPr>
              <w:t xml:space="preserve">Anmerkungen</w:t>
            </w:r>
          </w:p>
        </w:tc>
      </w:tr>
      <w:tr>
        <w:tc>
          <w:tcPr>
            <w:tcW w:type="dxa" w:w="3200"/>
            <w:tcMar>
              <w:top w:type="dxa" w:w="80"/>
              <w:left w:type="dxa" w:w="100"/>
              <w:bottom w:type="dxa" w:w="80"/>
              <w:right w:type="dxa" w:w="100"/>
            </w:tcMar>
          </w:tcPr>
          <w:p>
            <w:r>
              <w:rPr>
                <w:b w:val="false"/>
                <w:bCs w:val="false"/>
                <w:sz w:val="20"/>
                <w:szCs w:val="20"/>
              </w:rPr>
              <w:t xml:space="preserve">Prüfung und Bestätigung der Anspruchsberechtigung</w:t>
            </w:r>
          </w:p>
        </w:tc>
        <w:tc>
          <w:tcPr>
            <w:tcW w:type="dxa" w:w="3300"/>
            <w:tcMar>
              <w:top w:type="dxa" w:w="80"/>
              <w:left w:type="dxa" w:w="100"/>
              <w:bottom w:type="dxa" w:w="80"/>
              <w:right w:type="dxa" w:w="100"/>
            </w:tcMar>
          </w:tcPr>
          <w:p>
            <w:r>
              <w:rPr>
                <w:b w:val="false"/>
                <w:bCs w:val="false"/>
                <w:sz w:val="20"/>
                <w:szCs w:val="20"/>
              </w:rPr>
              <w:t xml:space="preserve">Vertragserfüllung (Art. 6 Abs. 1 lit. b DSGVO)</w:t>
            </w:r>
          </w:p>
        </w:tc>
        <w:tc>
          <w:tcPr>
            <w:tcW w:type="dxa" w:w="3000"/>
            <w:tcMar>
              <w:top w:type="dxa" w:w="80"/>
              <w:left w:type="dxa" w:w="100"/>
              <w:bottom w:type="dxa" w:w="80"/>
              <w:right w:type="dxa" w:w="100"/>
            </w:tcMar>
          </w:tcPr>
          <w:p>
            <w:r>
              <w:rPr>
                <w:b w:val="false"/>
                <w:bCs w:val="false"/>
                <w:sz w:val="20"/>
                <w:szCs w:val="20"/>
              </w:rPr>
              <w:t xml:space="preserve">Erforderlich zur Anwendung der Kampagnenbedingungen</w:t>
            </w:r>
          </w:p>
        </w:tc>
      </w:tr>
      <w:tr>
        <w:tc>
          <w:tcPr>
            <w:tcW w:type="dxa" w:w="3200"/>
            <w:tcMar>
              <w:top w:type="dxa" w:w="80"/>
              <w:left w:type="dxa" w:w="100"/>
              <w:bottom w:type="dxa" w:w="80"/>
              <w:right w:type="dxa" w:w="100"/>
            </w:tcMar>
          </w:tcPr>
          <w:p>
            <w:r>
              <w:rPr>
                <w:b w:val="false"/>
                <w:bCs w:val="false"/>
                <w:sz w:val="20"/>
                <w:szCs w:val="20"/>
              </w:rPr>
              <w:t xml:space="preserve">Auszahlung des Cashback-Betrags</w:t>
            </w:r>
          </w:p>
        </w:tc>
        <w:tc>
          <w:tcPr>
            <w:tcW w:type="dxa" w:w="3300"/>
            <w:tcMar>
              <w:top w:type="dxa" w:w="80"/>
              <w:left w:type="dxa" w:w="100"/>
              <w:bottom w:type="dxa" w:w="80"/>
              <w:right w:type="dxa" w:w="100"/>
            </w:tcMar>
          </w:tcPr>
          <w:p>
            <w:r>
              <w:rPr>
                <w:b w:val="false"/>
                <w:bCs w:val="false"/>
                <w:sz w:val="20"/>
                <w:szCs w:val="20"/>
              </w:rPr>
              <w:t xml:space="preserve">Vertragserfüllung (Art. 6 Abs. 1 lit. b DSGVO)</w:t>
            </w:r>
          </w:p>
        </w:tc>
        <w:tc>
          <w:tcPr>
            <w:tcW w:type="dxa" w:w="3000"/>
            <w:tcMar>
              <w:top w:type="dxa" w:w="80"/>
              <w:left w:type="dxa" w:w="100"/>
              <w:bottom w:type="dxa" w:w="80"/>
              <w:right w:type="dxa" w:w="100"/>
            </w:tcMar>
          </w:tcPr>
          <w:p>
            <w:r>
              <w:rPr>
                <w:b w:val="false"/>
                <w:bCs w:val="false"/>
                <w:sz w:val="20"/>
                <w:szCs w:val="20"/>
              </w:rPr>
              <w:t xml:space="preserve">IBAN/BIC werden ausschließlich für diese Zahlung verwendet</w:t>
            </w:r>
          </w:p>
        </w:tc>
      </w:tr>
      <w:tr>
        <w:tc>
          <w:tcPr>
            <w:tcW w:type="dxa" w:w="3200"/>
            <w:tcMar>
              <w:top w:type="dxa" w:w="80"/>
              <w:left w:type="dxa" w:w="100"/>
              <w:bottom w:type="dxa" w:w="80"/>
              <w:right w:type="dxa" w:w="100"/>
            </w:tcMar>
          </w:tcPr>
          <w:p>
            <w:r>
              <w:rPr>
                <w:b w:val="false"/>
                <w:bCs w:val="false"/>
                <w:sz w:val="20"/>
                <w:szCs w:val="20"/>
              </w:rPr>
              <w:t xml:space="preserve">Verhinderung und Untersuchung betrügerischer Anträge, Rückforderung zu Unrecht gezahlter Cashback-Beträge</w:t>
            </w:r>
          </w:p>
        </w:tc>
        <w:tc>
          <w:tcPr>
            <w:tcW w:type="dxa" w:w="3300"/>
            <w:tcMar>
              <w:top w:type="dxa" w:w="80"/>
              <w:left w:type="dxa" w:w="100"/>
              <w:bottom w:type="dxa" w:w="80"/>
              <w:right w:type="dxa" w:w="100"/>
            </w:tcMar>
          </w:tcPr>
          <w:p>
            <w:r>
              <w:rPr>
                <w:b w:val="false"/>
                <w:bCs w:val="false"/>
                <w:sz w:val="20"/>
                <w:szCs w:val="20"/>
              </w:rPr>
              <w:t xml:space="preserve">Berechtigtes Interesse (Art. 6 Abs. 1 lit. f DSGVO)</w:t>
            </w:r>
          </w:p>
        </w:tc>
        <w:tc>
          <w:tcPr>
            <w:tcW w:type="dxa" w:w="3000"/>
            <w:tcMar>
              <w:top w:type="dxa" w:w="80"/>
              <w:left w:type="dxa" w:w="100"/>
              <w:bottom w:type="dxa" w:w="80"/>
              <w:right w:type="dxa" w:w="100"/>
            </w:tcMar>
          </w:tcPr>
          <w:p>
            <w:r>
              <w:rPr>
                <w:b w:val="false"/>
                <w:bCs w:val="false"/>
                <w:sz w:val="20"/>
                <w:szCs w:val="20"/>
              </w:rPr>
              <w:t xml:space="preserve">Siehe Artikel 7.5 der Kampagnenbedingungen</w:t>
            </w:r>
          </w:p>
        </w:tc>
      </w:tr>
      <w:tr>
        <w:tc>
          <w:tcPr>
            <w:tcW w:type="dxa" w:w="3200"/>
            <w:tcMar>
              <w:top w:type="dxa" w:w="80"/>
              <w:left w:type="dxa" w:w="100"/>
              <w:bottom w:type="dxa" w:w="80"/>
              <w:right w:type="dxa" w:w="100"/>
            </w:tcMar>
          </w:tcPr>
          <w:p>
            <w:r>
              <w:rPr>
                <w:b w:val="false"/>
                <w:bCs w:val="false"/>
                <w:sz w:val="20"/>
                <w:szCs w:val="20"/>
              </w:rPr>
              <w:t xml:space="preserve">Buchhaltung und steuerliche Aufbewahrungspflichten</w:t>
            </w:r>
          </w:p>
        </w:tc>
        <w:tc>
          <w:tcPr>
            <w:tcW w:type="dxa" w:w="3300"/>
            <w:tcMar>
              <w:top w:type="dxa" w:w="80"/>
              <w:left w:type="dxa" w:w="100"/>
              <w:bottom w:type="dxa" w:w="80"/>
              <w:right w:type="dxa" w:w="100"/>
            </w:tcMar>
          </w:tcPr>
          <w:p>
            <w:r>
              <w:rPr>
                <w:b w:val="false"/>
                <w:bCs w:val="false"/>
                <w:sz w:val="20"/>
                <w:szCs w:val="20"/>
              </w:rPr>
              <w:t xml:space="preserve">Rechtliche Verpflichtung (Art. 6 Abs. 1 lit. c DSGVO)</w:t>
            </w:r>
          </w:p>
        </w:tc>
        <w:tc>
          <w:tcPr>
            <w:tcW w:type="dxa" w:w="3000"/>
            <w:tcMar>
              <w:top w:type="dxa" w:w="80"/>
              <w:left w:type="dxa" w:w="100"/>
              <w:bottom w:type="dxa" w:w="80"/>
              <w:right w:type="dxa" w:w="100"/>
            </w:tcMar>
          </w:tcPr>
          <w:p>
            <w:r>
              <w:rPr>
                <w:b w:val="false"/>
                <w:bCs w:val="false"/>
                <w:sz w:val="20"/>
                <w:szCs w:val="20"/>
              </w:rPr>
              <w:t xml:space="preserve">Belgisches Buchhaltungsrecht</w:t>
            </w:r>
          </w:p>
        </w:tc>
      </w:tr>
      <w:tr>
        <w:tc>
          <w:tcPr>
            <w:tcW w:type="dxa" w:w="3200"/>
            <w:tcMar>
              <w:top w:type="dxa" w:w="80"/>
              <w:left w:type="dxa" w:w="100"/>
              <w:bottom w:type="dxa" w:w="80"/>
              <w:right w:type="dxa" w:w="100"/>
            </w:tcMar>
          </w:tcPr>
          <w:p>
            <w:r>
              <w:rPr>
                <w:b w:val="false"/>
                <w:bCs w:val="false"/>
                <w:sz w:val="20"/>
                <w:szCs w:val="20"/>
              </w:rPr>
              <w:t xml:space="preserve">Verteidigung oder Geltendmachung von Rechtsansprüchen im Zusammenhang mit der Kampagne</w:t>
            </w:r>
          </w:p>
        </w:tc>
        <w:tc>
          <w:tcPr>
            <w:tcW w:type="dxa" w:w="3300"/>
            <w:tcMar>
              <w:top w:type="dxa" w:w="80"/>
              <w:left w:type="dxa" w:w="100"/>
              <w:bottom w:type="dxa" w:w="80"/>
              <w:right w:type="dxa" w:w="100"/>
            </w:tcMar>
          </w:tcPr>
          <w:p>
            <w:r>
              <w:rPr>
                <w:b w:val="false"/>
                <w:bCs w:val="false"/>
                <w:sz w:val="20"/>
                <w:szCs w:val="20"/>
              </w:rPr>
              <w:t xml:space="preserve">Berechtigtes Interesse (Art. 6 Abs. 1 lit. f DSGVO)</w:t>
            </w:r>
          </w:p>
        </w:tc>
        <w:tc>
          <w:tcPr>
            <w:tcW w:type="dxa" w:w="3000"/>
            <w:tcMar>
              <w:top w:type="dxa" w:w="80"/>
              <w:left w:type="dxa" w:w="100"/>
              <w:bottom w:type="dxa" w:w="80"/>
              <w:right w:type="dxa" w:w="100"/>
            </w:tcMar>
          </w:tcPr>
          <w:p>
            <w:r>
              <w:rPr>
                <w:b w:val="false"/>
                <w:bCs w:val="false"/>
                <w:sz w:val="20"/>
                <w:szCs w:val="20"/>
              </w:rPr>
              <w:t xml:space="preserve">Begrenzt auf die geltende Verjährungsfrist</w:t>
            </w:r>
          </w:p>
        </w:tc>
      </w:tr>
    </w:tbl>
    <w:p>
      <w:pPr>
        <w:spacing w:before="160"/>
      </w:pPr>
    </w:p>
    <w:p>
      <w:pPr>
        <w:pStyle w:val="Heading1"/>
        <w:spacing w:after="120" w:before="280"/>
      </w:pPr>
      <w:r>
        <w:rPr>
          <w:b/>
          <w:bCs/>
          <w:color w:val="5A8F29"/>
          <w:sz w:val="26"/>
          <w:szCs w:val="26"/>
        </w:rPr>
        <w:t xml:space="preserve">4. Empfänger personenbezogener Daten</w:t>
      </w:r>
    </w:p>
    <w:p>
      <w:pPr>
        <w:spacing w:after="160" w:line="276"/>
      </w:pPr>
      <w:r>
        <w:rPr>
          <w:sz w:val="21"/>
          <w:szCs w:val="21"/>
        </w:rPr>
        <w:t xml:space="preserve">Personenbezogene Daten sind für Mitarbeitende von Dynaco Europe zugänglich, die mit der Bearbeitung, Prüfung und Auszahlung von Anträgen befasst sind (Kundenservice und Finanzabteilung). Im Einklang mit der allgemeinen Datenschutzerklärung von Dynaco Europe können Daten außerdem weitergegeben werden an:</w:t>
      </w:r>
    </w:p>
    <w:p>
      <w:pPr>
        <w:pStyle w:val="ListParagraph"/>
        <w:numPr>
          <w:ilvl w:val="0"/>
          <w:numId w:val="2"/>
        </w:numPr>
        <w:spacing w:after="60" w:line="276"/>
      </w:pPr>
      <w:r>
        <w:rPr>
          <w:sz w:val="21"/>
          <w:szCs w:val="21"/>
        </w:rPr>
        <w:t xml:space="preserve">Andere Unternehmen der Dynaco Europe / ASSA ABLOY-Gruppe</w:t>
      </w:r>
    </w:p>
    <w:p>
      <w:pPr>
        <w:pStyle w:val="ListParagraph"/>
        <w:numPr>
          <w:ilvl w:val="0"/>
          <w:numId w:val="2"/>
        </w:numPr>
        <w:spacing w:after="60" w:line="276"/>
      </w:pPr>
      <w:r>
        <w:rPr>
          <w:sz w:val="21"/>
          <w:szCs w:val="21"/>
        </w:rPr>
        <w:t xml:space="preserve">IT-Dienstleister, die das Antragsformular und die zugehörigen Systeme hosten</w:t>
      </w:r>
    </w:p>
    <w:p>
      <w:pPr>
        <w:pStyle w:val="ListParagraph"/>
        <w:numPr>
          <w:ilvl w:val="0"/>
          <w:numId w:val="2"/>
        </w:numPr>
        <w:spacing w:after="60" w:line="276"/>
      </w:pPr>
      <w:r>
        <w:rPr>
          <w:sz w:val="21"/>
          <w:szCs w:val="21"/>
        </w:rPr>
        <w:t xml:space="preserve">Bank- und Zahlungsdienstleister, ausschließlich zur Durchführung der Cashback-Zahlung</w:t>
      </w:r>
    </w:p>
    <w:p>
      <w:pPr>
        <w:pStyle w:val="ListParagraph"/>
        <w:numPr>
          <w:ilvl w:val="0"/>
          <w:numId w:val="2"/>
        </w:numPr>
        <w:spacing w:after="60" w:line="276"/>
      </w:pPr>
      <w:r>
        <w:rPr>
          <w:sz w:val="21"/>
          <w:szCs w:val="21"/>
        </w:rPr>
        <w:t xml:space="preserve">Behörden, soweit gesetzlich vorgeschrieben, oder fachliche Berater, soweit dies zur Untersuchung von Betrug erforderlich ist (siehe Artikel 7.5 der Kampagnenbedingungen)</w:t>
      </w:r>
    </w:p>
    <w:p>
      <w:pPr>
        <w:spacing w:after="160" w:line="276"/>
      </w:pPr>
      <w:r>
        <w:rPr>
          <w:sz w:val="21"/>
          <w:szCs w:val="21"/>
        </w:rPr>
        <w:t xml:space="preserve">Händler, Vertriebspartner und Installateure haben keinen Zugriff auf die Antragsdaten des Endkunden und sind keine Empfänger des Cashbacks.</w:t>
      </w:r>
    </w:p>
    <w:p>
      <w:pPr>
        <w:pStyle w:val="Heading1"/>
        <w:spacing w:after="120" w:before="280"/>
      </w:pPr>
      <w:r>
        <w:rPr>
          <w:b/>
          <w:bCs/>
          <w:color w:val="5A8F29"/>
          <w:sz w:val="26"/>
          <w:szCs w:val="26"/>
        </w:rPr>
        <w:t xml:space="preserve">5. Aufbewahrungsdauer</w:t>
      </w:r>
    </w:p>
    <w:p>
      <w:pPr>
        <w:spacing w:after="160" w:line="276"/>
      </w:pPr>
      <w:r>
        <w:rPr>
          <w:sz w:val="21"/>
          <w:szCs w:val="21"/>
        </w:rPr>
        <w:t xml:space="preserve">Die Cashback-Kampagne führt nicht zur Ausstellung einer Rechnung (siehe Artikel 2 der Kampagnenbedingungen: der Cashback „stellt keinen Rabatt, keine Gutschrift und keine Preisminderung auf einer Rechnung dar“). Es handelt sich dennoch um eine direkte Zahlung von Dynaco Europe, die buchhalterisch belegt werden muss. Nach belgischem Buchhaltungs- und Steuerrecht muss Dynaco Europe die Belege für eine solche Zahlung mindestens sieben (7) Jahre aufbewahren. Sobald diese gesetzliche Verpflichtung der einzige verbleibende Verarbeitungszweck ist, verlangt der Grundsatz der Speicherbegrenzung der DSGVO (Art. 5 Abs. 1 lit. e DSGVO) die Löschung der Daten — wodurch sieben (7) Jahre die tatsächliche Aufbewahrungsobergrenze für diese Daten darstellen, und nicht eine von der DSGVO selbst festgelegte Frist.</w:t>
      </w:r>
    </w:p>
    <w:p>
      <w:pPr>
        <w:spacing w:after="160" w:line="276"/>
      </w:pPr>
      <w:r>
        <w:rPr>
          <w:sz w:val="21"/>
          <w:szCs w:val="21"/>
        </w:rPr>
        <w:t xml:space="preserve">Die vollständige Antragsakte — Identifikationsdaten, Zahlungsdaten (IBAN, BIC, Name des Kontoinhabers), die Seriennummern beider Türen sowie die beiden Fotografien — wird für diesen Zeitraum als einheitliche Akte aufbewahrt, anstatt einzelne Datenfelder zu unterschiedlichen Zeitpunkten zu löschen. Dies liegt daran, dass jedes Element als Nachweis für dieselbe Zahlung dient: Die Identifikations- und Zahlungsdaten belegen, an wen und in welcher Höhe gezahlt wurde, während die Seriennummern und Fotografien belegen, warum die Zahlung gerechtfertigt war. Die vollständige Aufbewahrung der Akte unterstützt zudem die Fähigkeit von Dynaco Europe, einen zu Unrecht gezahlten Cashback gemäß Artikel 7.5 der Kampagnenbedingungen zu erkennen, zu untersuchen und zurückzufordern, wofür keine eigene Frist festgelegt ist.</w:t>
      </w:r>
    </w:p>
    <w:p>
      <w:pPr>
        <w:spacing w:after="160" w:line="276"/>
      </w:pPr>
      <w:r>
        <w:rPr>
          <w:sz w:val="21"/>
          <w:szCs w:val="21"/>
        </w:rPr>
        <w:t xml:space="preserve">Cashback-Antragsdatensätze werden daher sieben (7) Jahre ab dem Datum der Zahlung bzw., im Falle einer Ablehnung des Antrags, ab dem Datum der Ablehnung aufbewahrt. Nach Ablauf dieser Frist werden die Daten gelöscht oder unwiderruflich anonymisiert, sofern nicht eine längere Frist nach geltendem Recht erforderlich ist.</w:t>
      </w:r>
    </w:p>
    <w:p>
      <w:pPr>
        <w:pStyle w:val="Heading1"/>
        <w:spacing w:after="120" w:before="280"/>
      </w:pPr>
      <w:r>
        <w:rPr>
          <w:b/>
          <w:bCs/>
          <w:color w:val="5A8F29"/>
          <w:sz w:val="26"/>
          <w:szCs w:val="26"/>
        </w:rPr>
        <w:t xml:space="preserve">6. Internationale Datenübermittlungen</w:t>
      </w:r>
    </w:p>
    <w:p>
      <w:pPr>
        <w:spacing w:after="160" w:line="276"/>
      </w:pPr>
      <w:r>
        <w:rPr>
          <w:sz w:val="21"/>
          <w:szCs w:val="21"/>
        </w:rPr>
        <w:t xml:space="preserve">Personenbezogene Daten werden innerhalb des Europäischen Wirtschaftsraums verarbeitet. Werden Daten an einen Auftragsverarbeiter oder ein Konzernunternehmen außerhalb des EWR übermittelt, wendet Dynaco Europe geeignete Garantien an, im Einklang mit seiner allgemeinen Datenschutzerklärung.</w:t>
      </w:r>
    </w:p>
    <w:p>
      <w:pPr>
        <w:pStyle w:val="Heading1"/>
        <w:spacing w:after="120" w:before="280"/>
      </w:pPr>
      <w:r>
        <w:rPr>
          <w:b/>
          <w:bCs/>
          <w:color w:val="5A8F29"/>
          <w:sz w:val="26"/>
          <w:szCs w:val="26"/>
        </w:rPr>
        <w:t xml:space="preserve">7. Ihre Rechte</w:t>
      </w:r>
    </w:p>
    <w:p>
      <w:pPr>
        <w:spacing w:after="160" w:line="276"/>
      </w:pPr>
      <w:r>
        <w:rPr>
          <w:sz w:val="21"/>
          <w:szCs w:val="21"/>
        </w:rPr>
        <w:t xml:space="preserve">Vorbehaltlich der in der DSGVO festgelegten Voraussetzungen haben Sie das Recht:</w:t>
      </w:r>
    </w:p>
    <w:p>
      <w:pPr>
        <w:pStyle w:val="ListParagraph"/>
        <w:numPr>
          <w:ilvl w:val="0"/>
          <w:numId w:val="2"/>
        </w:numPr>
        <w:spacing w:after="60" w:line="276"/>
      </w:pPr>
      <w:r>
        <w:rPr>
          <w:sz w:val="21"/>
          <w:szCs w:val="21"/>
        </w:rPr>
        <w:t xml:space="preserve">Auskunft über die von uns über Sie gespeicherten personenbezogenen Daten zu verlangen</w:t>
      </w:r>
    </w:p>
    <w:p>
      <w:pPr>
        <w:pStyle w:val="ListParagraph"/>
        <w:numPr>
          <w:ilvl w:val="0"/>
          <w:numId w:val="2"/>
        </w:numPr>
        <w:spacing w:after="60" w:line="276"/>
      </w:pPr>
      <w:r>
        <w:rPr>
          <w:sz w:val="21"/>
          <w:szCs w:val="21"/>
        </w:rPr>
        <w:t xml:space="preserve">Die Berichtigung unrichtiger Daten zu verlangen</w:t>
      </w:r>
    </w:p>
    <w:p>
      <w:pPr>
        <w:pStyle w:val="ListParagraph"/>
        <w:numPr>
          <w:ilvl w:val="0"/>
          <w:numId w:val="2"/>
        </w:numPr>
        <w:spacing w:after="60" w:line="276"/>
      </w:pPr>
      <w:r>
        <w:rPr>
          <w:sz w:val="21"/>
          <w:szCs w:val="21"/>
        </w:rPr>
        <w:t xml:space="preserve">Die Löschung Ihrer Daten zu verlangen, soweit anwendbar</w:t>
      </w:r>
    </w:p>
    <w:p>
      <w:pPr>
        <w:pStyle w:val="ListParagraph"/>
        <w:numPr>
          <w:ilvl w:val="0"/>
          <w:numId w:val="2"/>
        </w:numPr>
        <w:spacing w:after="60" w:line="276"/>
      </w:pPr>
      <w:r>
        <w:rPr>
          <w:sz w:val="21"/>
          <w:szCs w:val="21"/>
        </w:rPr>
        <w:t xml:space="preserve">Die Einschränkung der Verarbeitung zu verlangen oder der auf berechtigtem Interesse beruhenden Verarbeitung zu widersprechen</w:t>
      </w:r>
    </w:p>
    <w:p>
      <w:pPr>
        <w:pStyle w:val="ListParagraph"/>
        <w:numPr>
          <w:ilvl w:val="0"/>
          <w:numId w:val="2"/>
        </w:numPr>
        <w:spacing w:after="60" w:line="276"/>
      </w:pPr>
      <w:r>
        <w:rPr>
          <w:sz w:val="21"/>
          <w:szCs w:val="21"/>
        </w:rPr>
        <w:t xml:space="preserve">Die Datenübertragbarkeit zu verlangen, soweit anwendbar</w:t>
      </w:r>
    </w:p>
    <w:p>
      <w:pPr>
        <w:pStyle w:val="ListParagraph"/>
        <w:numPr>
          <w:ilvl w:val="0"/>
          <w:numId w:val="2"/>
        </w:numPr>
        <w:spacing w:after="60" w:line="276"/>
      </w:pPr>
      <w:r>
        <w:rPr>
          <w:sz w:val="21"/>
          <w:szCs w:val="21"/>
        </w:rPr>
        <w:t xml:space="preserve">Beschwerde bei der belgischen Datenschutzbehörde einzulegen</w:t>
      </w:r>
    </w:p>
    <w:p>
      <w:pPr>
        <w:spacing w:after="160" w:line="276"/>
      </w:pPr>
      <w:r>
        <w:rPr>
          <w:sz w:val="21"/>
          <w:szCs w:val="21"/>
        </w:rPr>
        <w:t xml:space="preserve">Zur Ausübung dieser Rechte wenden Sie sich bitte an privacy@dynacodoor.com (postalisch: Dynaco Europe NV, Waverstraat 21, 9310 Moorsel, Belgien). Wir müssen Ihre Identität ggf. vor Bearbeitung einer Anfrage überprüfen.</w:t>
      </w:r>
    </w:p>
    <w:p>
      <w:pPr>
        <w:pStyle w:val="Heading1"/>
        <w:spacing w:after="120" w:before="280"/>
      </w:pPr>
      <w:r>
        <w:rPr>
          <w:b/>
          <w:bCs/>
          <w:color w:val="5A8F29"/>
          <w:sz w:val="26"/>
          <w:szCs w:val="26"/>
        </w:rPr>
        <w:t xml:space="preserve">8. Kontakt</w:t>
      </w:r>
    </w:p>
    <w:p>
      <w:pPr>
        <w:spacing w:after="160" w:line="276"/>
      </w:pPr>
      <w:r>
        <w:rPr>
          <w:sz w:val="21"/>
          <w:szCs w:val="21"/>
        </w:rPr>
        <w:t xml:space="preserve">Bei Fragen zu dieser Datenschutzerklärung: privacy@dynacodoor.com. Bei Fragen zu einem konkreten Cashback-Antrag: cashback@dynacodoor.com.</w:t>
      </w:r>
    </w:p>
    <w:p>
      <w:pPr>
        <w:pBdr>
          <w:top w:val="single" w:color="CCCCCC" w:sz="4" w:space="6"/>
        </w:pBdr>
        <w:spacing w:before="300"/>
      </w:pPr>
      <w:r>
        <w:rPr>
          <w:i/>
          <w:iCs/>
          <w:color w:val="666666"/>
          <w:sz w:val="16"/>
          <w:szCs w:val="16"/>
        </w:rPr>
        <w:t xml:space="preserve">Version 1.0 — Deutsch. Unterliegt belgischem Recht, im Einklang mit der DSGVO und der allgemeinen Datenschutzerklärung der Dynaco Europe NV.</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2"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2026-09-16T13:06:18.066Z</dcterms:created>
  <dcterms:modified xsi:type="dcterms:W3CDTF">2026-09-16T13:06:18.066Z</dcterms:modified>
</cp:coreProperties>
</file>

<file path=docProps/custom.xml><?xml version="1.0" encoding="utf-8"?>
<Properties xmlns="http://schemas.openxmlformats.org/officeDocument/2006/custom-properties" xmlns:vt="http://schemas.openxmlformats.org/officeDocument/2006/docPropsVTypes"/>
</file>