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5A8F29"/>
          <w:sz w:val="20"/>
          <w:szCs w:val="20"/>
        </w:rPr>
        <w:t xml:space="preserve">DYNACO EUROPE NV</w:t>
      </w:r>
    </w:p>
    <w:p>
      <w:pPr>
        <w:pBdr>
          <w:bottom w:val="single" w:color="5A8F29" w:sz="6" w:space="6"/>
        </w:pBdr>
        <w:spacing w:after="260"/>
      </w:pPr>
      <w:r>
        <w:rPr>
          <w:b/>
          <w:bCs/>
          <w:sz w:val="34"/>
          <w:szCs w:val="34"/>
        </w:rPr>
        <w:t xml:space="preserve">Política de Privacidad — Campaña de Cashback por sustitución de puertas Dynaco</w:t>
      </w:r>
    </w:p>
    <w:p>
      <w:pPr>
        <w:spacing w:after="160" w:line="276"/>
      </w:pPr>
      <w:r>
        <w:rPr>
          <w:sz w:val="21"/>
          <w:szCs w:val="21"/>
        </w:rPr>
        <w:t xml:space="preserve">Esta Política de Privacidad explica cómo Dynaco Europe NV («Dynaco Europe», «nosotros») trata los datos personales de los Clientes Finales que presentan una solicitud en el marco de la Campaña de Cashback por sustitución de puertas Dynaco (la «Campaña»), que se desarrolla del 1 de octubre al 31 de diciembre de 2026 en Francia, Alemania y España. Debe leerse junto con los Términos y Condiciones de la Campaña y se aplica de forma adicional a la Política de Privacidad general de Dynaco Europe.</w:t>
      </w:r>
    </w:p>
    <w:p>
      <w:pPr>
        <w:pStyle w:val="Heading1"/>
        <w:spacing w:after="120" w:before="280"/>
      </w:pPr>
      <w:r>
        <w:rPr>
          <w:b/>
          <w:bCs/>
          <w:color w:val="5A8F29"/>
          <w:sz w:val="26"/>
          <w:szCs w:val="26"/>
        </w:rPr>
        <w:t xml:space="preserve">1. Responsable del tratamiento</w:t>
      </w:r>
    </w:p>
    <w:p>
      <w:pPr>
        <w:spacing w:after="160" w:line="276"/>
      </w:pPr>
      <w:r>
        <w:rPr>
          <w:sz w:val="21"/>
          <w:szCs w:val="21"/>
        </w:rPr>
        <w:t xml:space="preserve">Dynaco Europe NV (número de empresa BE0439.752.567), Waverstraat 21, 9310 Moorsel, Bélgica, es el responsable del tratamiento de los datos personales tratados en el marco de la Campaña. Para cualquier consulta sobre esta Política o para ejercer sus derechos, contacte con privacy@dynacodoor.com, o con cashback@dynacodoor.com para consultas específicas sobre una solicitud. Esta Política complementa la Política de Privacidad general de Dynaco Europe, disponible en dynacodoor.com/en/privacy-center/privacy-policy.</w:t>
      </w:r>
    </w:p>
    <w:p>
      <w:pPr>
        <w:pStyle w:val="Heading1"/>
        <w:spacing w:after="120" w:before="280"/>
      </w:pPr>
      <w:r>
        <w:rPr>
          <w:b/>
          <w:bCs/>
          <w:color w:val="5A8F29"/>
          <w:sz w:val="26"/>
          <w:szCs w:val="26"/>
        </w:rPr>
        <w:t xml:space="preserve">2. Qué datos personales recopilamos</w:t>
      </w:r>
    </w:p>
    <w:p>
      <w:pPr>
        <w:spacing w:after="160" w:line="276"/>
      </w:pPr>
      <w:r>
        <w:rPr>
          <w:sz w:val="21"/>
          <w:szCs w:val="21"/>
        </w:rPr>
        <w:t xml:space="preserve">Cuando presenta una solicitud de Cashback, recopilamos los siguientes datos personales, conforme al Artículo 6.2 de los Términos y Condiciones de la Campaña:</w:t>
      </w:r>
    </w:p>
    <w:p>
      <w:pPr>
        <w:pStyle w:val="ListParagraph"/>
        <w:numPr>
          <w:ilvl w:val="0"/>
          <w:numId w:val="2"/>
        </w:numPr>
        <w:spacing w:after="60" w:line="276"/>
      </w:pPr>
      <w:r>
        <w:rPr>
          <w:sz w:val="21"/>
          <w:szCs w:val="21"/>
        </w:rPr>
        <w:t xml:space="preserve">Datos de identificación: nombre, nombre de la empresa (si procede), dirección postal, dirección de correo electrónico, número de IVA (si procede)</w:t>
      </w:r>
    </w:p>
    <w:p>
      <w:pPr>
        <w:pStyle w:val="ListParagraph"/>
        <w:numPr>
          <w:ilvl w:val="0"/>
          <w:numId w:val="2"/>
        </w:numPr>
        <w:spacing w:after="60" w:line="276"/>
      </w:pPr>
      <w:r>
        <w:rPr>
          <w:sz w:val="21"/>
          <w:szCs w:val="21"/>
        </w:rPr>
        <w:t xml:space="preserve">Datos de pago: IBAN, BIC y nombre del titular de la cuenta bancaria</w:t>
      </w:r>
    </w:p>
    <w:p>
      <w:pPr>
        <w:pStyle w:val="ListParagraph"/>
        <w:numPr>
          <w:ilvl w:val="0"/>
          <w:numId w:val="2"/>
        </w:numPr>
        <w:spacing w:after="60" w:line="276"/>
      </w:pPr>
      <w:r>
        <w:rPr>
          <w:sz w:val="21"/>
          <w:szCs w:val="21"/>
        </w:rPr>
        <w:t xml:space="preserve">Datos del producto: el número de serie de la puerta sustituida y el número de serie de la nueva puerta</w:t>
      </w:r>
    </w:p>
    <w:p>
      <w:pPr>
        <w:pStyle w:val="ListParagraph"/>
        <w:numPr>
          <w:ilvl w:val="0"/>
          <w:numId w:val="2"/>
        </w:numPr>
        <w:spacing w:after="60" w:line="276"/>
      </w:pPr>
      <w:r>
        <w:rPr>
          <w:sz w:val="21"/>
          <w:szCs w:val="21"/>
        </w:rPr>
        <w:t xml:space="preserve">Evidencia fotográfica: una fotografía de la puerta antigua antes de su retirada y una fotografía de la nueva puerta tras su instalación</w:t>
      </w:r>
    </w:p>
    <w:p>
      <w:pPr>
        <w:spacing w:after="160" w:line="276"/>
      </w:pPr>
      <w:r>
        <w:rPr>
          <w:sz w:val="21"/>
          <w:szCs w:val="21"/>
        </w:rPr>
        <w:t xml:space="preserve">Todos los datos de identificación deben pertenecer al Cliente Final (el propietario/operador de la puerta) y no a un distribuidor, concesionario o instalador que presente la solicitud en nombre del Cliente Final.</w:t>
      </w:r>
    </w:p>
    <w:p>
      <w:pPr>
        <w:pStyle w:val="Heading1"/>
        <w:spacing w:after="120" w:before="280"/>
      </w:pPr>
      <w:r>
        <w:rPr>
          <w:b/>
          <w:bCs/>
          <w:color w:val="5A8F29"/>
          <w:sz w:val="26"/>
          <w:szCs w:val="26"/>
        </w:rPr>
        <w:t xml:space="preserve">3. Finalidades y base jurídica del tratamiento</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3300"/>
        <w:gridCol w:w="3000"/>
      </w:tblGrid>
      <w:tr>
        <w:tc>
          <w:tcPr>
            <w:tcW w:type="dxa" w:w="3200"/>
            <w:shd w:fill="EDF3E4" w:val="clear"/>
            <w:tcMar>
              <w:top w:type="dxa" w:w="80"/>
              <w:left w:type="dxa" w:w="100"/>
              <w:bottom w:type="dxa" w:w="80"/>
              <w:right w:type="dxa" w:w="100"/>
            </w:tcMar>
          </w:tcPr>
          <w:p>
            <w:r>
              <w:rPr>
                <w:b/>
                <w:bCs/>
                <w:sz w:val="20"/>
                <w:szCs w:val="20"/>
              </w:rPr>
              <w:t xml:space="preserve">Finalidad</w:t>
            </w:r>
          </w:p>
        </w:tc>
        <w:tc>
          <w:tcPr>
            <w:tcW w:type="dxa" w:w="3300"/>
            <w:shd w:fill="EDF3E4" w:val="clear"/>
            <w:tcMar>
              <w:top w:type="dxa" w:w="80"/>
              <w:left w:type="dxa" w:w="100"/>
              <w:bottom w:type="dxa" w:w="80"/>
              <w:right w:type="dxa" w:w="100"/>
            </w:tcMar>
          </w:tcPr>
          <w:p>
            <w:r>
              <w:rPr>
                <w:b/>
                <w:bCs/>
                <w:sz w:val="20"/>
                <w:szCs w:val="20"/>
              </w:rPr>
              <w:t xml:space="preserve">Base jurídica</w:t>
            </w:r>
          </w:p>
        </w:tc>
        <w:tc>
          <w:tcPr>
            <w:tcW w:type="dxa" w:w="3000"/>
            <w:shd w:fill="EDF3E4" w:val="clear"/>
            <w:tcMar>
              <w:top w:type="dxa" w:w="80"/>
              <w:left w:type="dxa" w:w="100"/>
              <w:bottom w:type="dxa" w:w="80"/>
              <w:right w:type="dxa" w:w="100"/>
            </w:tcMar>
          </w:tcPr>
          <w:p>
            <w:r>
              <w:rPr>
                <w:b/>
                <w:bCs/>
                <w:sz w:val="20"/>
                <w:szCs w:val="20"/>
              </w:rPr>
              <w:t xml:space="preserve">Notas</w:t>
            </w:r>
          </w:p>
        </w:tc>
      </w:tr>
      <w:tr>
        <w:tc>
          <w:tcPr>
            <w:tcW w:type="dxa" w:w="3200"/>
            <w:tcMar>
              <w:top w:type="dxa" w:w="80"/>
              <w:left w:type="dxa" w:w="100"/>
              <w:bottom w:type="dxa" w:w="80"/>
              <w:right w:type="dxa" w:w="100"/>
            </w:tcMar>
          </w:tcPr>
          <w:p>
            <w:r>
              <w:rPr>
                <w:b w:val="false"/>
                <w:bCs w:val="false"/>
                <w:sz w:val="20"/>
                <w:szCs w:val="20"/>
              </w:rPr>
              <w:t xml:space="preserve">Evaluación y validación de la elegibilidad de la solicitud</w:t>
            </w:r>
          </w:p>
        </w:tc>
        <w:tc>
          <w:tcPr>
            <w:tcW w:type="dxa" w:w="3300"/>
            <w:tcMar>
              <w:top w:type="dxa" w:w="80"/>
              <w:left w:type="dxa" w:w="100"/>
              <w:bottom w:type="dxa" w:w="80"/>
              <w:right w:type="dxa" w:w="100"/>
            </w:tcMar>
          </w:tcPr>
          <w:p>
            <w:r>
              <w:rPr>
                <w:b w:val="false"/>
                <w:bCs w:val="false"/>
                <w:sz w:val="20"/>
                <w:szCs w:val="20"/>
              </w:rPr>
              <w:t xml:space="preserve">Ejecución de un contrato (Art. 6(1)(b) RGPD)</w:t>
            </w:r>
          </w:p>
        </w:tc>
        <w:tc>
          <w:tcPr>
            <w:tcW w:type="dxa" w:w="3000"/>
            <w:tcMar>
              <w:top w:type="dxa" w:w="80"/>
              <w:left w:type="dxa" w:w="100"/>
              <w:bottom w:type="dxa" w:w="80"/>
              <w:right w:type="dxa" w:w="100"/>
            </w:tcMar>
          </w:tcPr>
          <w:p>
            <w:r>
              <w:rPr>
                <w:b w:val="false"/>
                <w:bCs w:val="false"/>
                <w:sz w:val="20"/>
                <w:szCs w:val="20"/>
              </w:rPr>
              <w:t xml:space="preserve">Necesario para aplicar las normas de la Campaña</w:t>
            </w:r>
          </w:p>
        </w:tc>
      </w:tr>
      <w:tr>
        <w:tc>
          <w:tcPr>
            <w:tcW w:type="dxa" w:w="3200"/>
            <w:tcMar>
              <w:top w:type="dxa" w:w="80"/>
              <w:left w:type="dxa" w:w="100"/>
              <w:bottom w:type="dxa" w:w="80"/>
              <w:right w:type="dxa" w:w="100"/>
            </w:tcMar>
          </w:tcPr>
          <w:p>
            <w:r>
              <w:rPr>
                <w:b w:val="false"/>
                <w:bCs w:val="false"/>
                <w:sz w:val="20"/>
                <w:szCs w:val="20"/>
              </w:rPr>
              <w:t xml:space="preserve">Pago del importe del Cashback</w:t>
            </w:r>
          </w:p>
        </w:tc>
        <w:tc>
          <w:tcPr>
            <w:tcW w:type="dxa" w:w="3300"/>
            <w:tcMar>
              <w:top w:type="dxa" w:w="80"/>
              <w:left w:type="dxa" w:w="100"/>
              <w:bottom w:type="dxa" w:w="80"/>
              <w:right w:type="dxa" w:w="100"/>
            </w:tcMar>
          </w:tcPr>
          <w:p>
            <w:r>
              <w:rPr>
                <w:b w:val="false"/>
                <w:bCs w:val="false"/>
                <w:sz w:val="20"/>
                <w:szCs w:val="20"/>
              </w:rPr>
              <w:t xml:space="preserve">Ejecución de un contrato (Art. 6(1)(b) RGPD)</w:t>
            </w:r>
          </w:p>
        </w:tc>
        <w:tc>
          <w:tcPr>
            <w:tcW w:type="dxa" w:w="3000"/>
            <w:tcMar>
              <w:top w:type="dxa" w:w="80"/>
              <w:left w:type="dxa" w:w="100"/>
              <w:bottom w:type="dxa" w:w="80"/>
              <w:right w:type="dxa" w:w="100"/>
            </w:tcMar>
          </w:tcPr>
          <w:p>
            <w:r>
              <w:rPr>
                <w:b w:val="false"/>
                <w:bCs w:val="false"/>
                <w:sz w:val="20"/>
                <w:szCs w:val="20"/>
              </w:rPr>
              <w:t xml:space="preserve">El IBAN/BIC se utiliza únicamente para este pago</w:t>
            </w:r>
          </w:p>
        </w:tc>
      </w:tr>
      <w:tr>
        <w:tc>
          <w:tcPr>
            <w:tcW w:type="dxa" w:w="3200"/>
            <w:tcMar>
              <w:top w:type="dxa" w:w="80"/>
              <w:left w:type="dxa" w:w="100"/>
              <w:bottom w:type="dxa" w:w="80"/>
              <w:right w:type="dxa" w:w="100"/>
            </w:tcMar>
          </w:tcPr>
          <w:p>
            <w:r>
              <w:rPr>
                <w:b w:val="false"/>
                <w:bCs w:val="false"/>
                <w:sz w:val="20"/>
                <w:szCs w:val="20"/>
              </w:rPr>
              <w:t xml:space="preserve">Prevención e investigación de solicitudes fraudulentas, recuperación de un Cashback pagado indebidamente</w:t>
            </w:r>
          </w:p>
        </w:tc>
        <w:tc>
          <w:tcPr>
            <w:tcW w:type="dxa" w:w="3300"/>
            <w:tcMar>
              <w:top w:type="dxa" w:w="80"/>
              <w:left w:type="dxa" w:w="100"/>
              <w:bottom w:type="dxa" w:w="80"/>
              <w:right w:type="dxa" w:w="100"/>
            </w:tcMar>
          </w:tcPr>
          <w:p>
            <w:r>
              <w:rPr>
                <w:b w:val="false"/>
                <w:bCs w:val="false"/>
                <w:sz w:val="20"/>
                <w:szCs w:val="20"/>
              </w:rPr>
              <w:t xml:space="preserve">Interés legítimo (Art. 6(1)(f) RGPD)</w:t>
            </w:r>
          </w:p>
        </w:tc>
        <w:tc>
          <w:tcPr>
            <w:tcW w:type="dxa" w:w="3000"/>
            <w:tcMar>
              <w:top w:type="dxa" w:w="80"/>
              <w:left w:type="dxa" w:w="100"/>
              <w:bottom w:type="dxa" w:w="80"/>
              <w:right w:type="dxa" w:w="100"/>
            </w:tcMar>
          </w:tcPr>
          <w:p>
            <w:r>
              <w:rPr>
                <w:b w:val="false"/>
                <w:bCs w:val="false"/>
                <w:sz w:val="20"/>
                <w:szCs w:val="20"/>
              </w:rPr>
              <w:t xml:space="preserve">Véase el Artículo 7.5 de los Términos y Condiciones</w:t>
            </w:r>
          </w:p>
        </w:tc>
      </w:tr>
      <w:tr>
        <w:tc>
          <w:tcPr>
            <w:tcW w:type="dxa" w:w="3200"/>
            <w:tcMar>
              <w:top w:type="dxa" w:w="80"/>
              <w:left w:type="dxa" w:w="100"/>
              <w:bottom w:type="dxa" w:w="80"/>
              <w:right w:type="dxa" w:w="100"/>
            </w:tcMar>
          </w:tcPr>
          <w:p>
            <w:r>
              <w:rPr>
                <w:b w:val="false"/>
                <w:bCs w:val="false"/>
                <w:sz w:val="20"/>
                <w:szCs w:val="20"/>
              </w:rPr>
              <w:t xml:space="preserve">Contabilidad y obligaciones fiscales</w:t>
            </w:r>
          </w:p>
        </w:tc>
        <w:tc>
          <w:tcPr>
            <w:tcW w:type="dxa" w:w="3300"/>
            <w:tcMar>
              <w:top w:type="dxa" w:w="80"/>
              <w:left w:type="dxa" w:w="100"/>
              <w:bottom w:type="dxa" w:w="80"/>
              <w:right w:type="dxa" w:w="100"/>
            </w:tcMar>
          </w:tcPr>
          <w:p>
            <w:r>
              <w:rPr>
                <w:b w:val="false"/>
                <w:bCs w:val="false"/>
                <w:sz w:val="20"/>
                <w:szCs w:val="20"/>
              </w:rPr>
              <w:t xml:space="preserve">Obligación legal (Art. 6(1)(c) RGPD)</w:t>
            </w:r>
          </w:p>
        </w:tc>
        <w:tc>
          <w:tcPr>
            <w:tcW w:type="dxa" w:w="3000"/>
            <w:tcMar>
              <w:top w:type="dxa" w:w="80"/>
              <w:left w:type="dxa" w:w="100"/>
              <w:bottom w:type="dxa" w:w="80"/>
              <w:right w:type="dxa" w:w="100"/>
            </w:tcMar>
          </w:tcPr>
          <w:p>
            <w:r>
              <w:rPr>
                <w:b w:val="false"/>
                <w:bCs w:val="false"/>
                <w:sz w:val="20"/>
                <w:szCs w:val="20"/>
              </w:rPr>
              <w:t xml:space="preserve">Normativa contable belga</w:t>
            </w:r>
          </w:p>
        </w:tc>
      </w:tr>
      <w:tr>
        <w:tc>
          <w:tcPr>
            <w:tcW w:type="dxa" w:w="3200"/>
            <w:tcMar>
              <w:top w:type="dxa" w:w="80"/>
              <w:left w:type="dxa" w:w="100"/>
              <w:bottom w:type="dxa" w:w="80"/>
              <w:right w:type="dxa" w:w="100"/>
            </w:tcMar>
          </w:tcPr>
          <w:p>
            <w:r>
              <w:rPr>
                <w:b w:val="false"/>
                <w:bCs w:val="false"/>
                <w:sz w:val="20"/>
                <w:szCs w:val="20"/>
              </w:rPr>
              <w:t xml:space="preserve">Defensa o ejercicio de acciones legales relacionadas con la Campaña</w:t>
            </w:r>
          </w:p>
        </w:tc>
        <w:tc>
          <w:tcPr>
            <w:tcW w:type="dxa" w:w="3300"/>
            <w:tcMar>
              <w:top w:type="dxa" w:w="80"/>
              <w:left w:type="dxa" w:w="100"/>
              <w:bottom w:type="dxa" w:w="80"/>
              <w:right w:type="dxa" w:w="100"/>
            </w:tcMar>
          </w:tcPr>
          <w:p>
            <w:r>
              <w:rPr>
                <w:b w:val="false"/>
                <w:bCs w:val="false"/>
                <w:sz w:val="20"/>
                <w:szCs w:val="20"/>
              </w:rPr>
              <w:t xml:space="preserve">Interés legítimo (Art. 6(1)(f) RGPD)</w:t>
            </w:r>
          </w:p>
        </w:tc>
        <w:tc>
          <w:tcPr>
            <w:tcW w:type="dxa" w:w="3000"/>
            <w:tcMar>
              <w:top w:type="dxa" w:w="80"/>
              <w:left w:type="dxa" w:w="100"/>
              <w:bottom w:type="dxa" w:w="80"/>
              <w:right w:type="dxa" w:w="100"/>
            </w:tcMar>
          </w:tcPr>
          <w:p>
            <w:r>
              <w:rPr>
                <w:b w:val="false"/>
                <w:bCs w:val="false"/>
                <w:sz w:val="20"/>
                <w:szCs w:val="20"/>
              </w:rPr>
              <w:t xml:space="preserve">Limitado al plazo de prescripción aplicable</w:t>
            </w:r>
          </w:p>
        </w:tc>
      </w:tr>
    </w:tbl>
    <w:p>
      <w:pPr>
        <w:spacing w:before="160"/>
      </w:pPr>
    </w:p>
    <w:p>
      <w:pPr>
        <w:pStyle w:val="Heading1"/>
        <w:spacing w:after="120" w:before="280"/>
      </w:pPr>
      <w:r>
        <w:rPr>
          <w:b/>
          <w:bCs/>
          <w:color w:val="5A8F29"/>
          <w:sz w:val="26"/>
          <w:szCs w:val="26"/>
        </w:rPr>
        <w:t xml:space="preserve">4. Destinatarios de los datos personales</w:t>
      </w:r>
    </w:p>
    <w:p>
      <w:pPr>
        <w:spacing w:after="160" w:line="276"/>
      </w:pPr>
      <w:r>
        <w:rPr>
          <w:sz w:val="21"/>
          <w:szCs w:val="21"/>
        </w:rPr>
        <w:t xml:space="preserve">Los datos personales son accesibles para el personal de Dynaco Europe implicado en la gestión, verificación y pago de las solicitudes (departamentos de atención al cliente y finanzas). De acuerdo con la Política de Privacidad general de Dynaco Europe, los datos también pueden compartirse con:</w:t>
      </w:r>
    </w:p>
    <w:p>
      <w:pPr>
        <w:pStyle w:val="ListParagraph"/>
        <w:numPr>
          <w:ilvl w:val="0"/>
          <w:numId w:val="2"/>
        </w:numPr>
        <w:spacing w:after="60" w:line="276"/>
      </w:pPr>
      <w:r>
        <w:rPr>
          <w:sz w:val="21"/>
          <w:szCs w:val="21"/>
        </w:rPr>
        <w:t xml:space="preserve">Otras empresas del grupo Dynaco Europe / ASSA ABLOY</w:t>
      </w:r>
    </w:p>
    <w:p>
      <w:pPr>
        <w:pStyle w:val="ListParagraph"/>
        <w:numPr>
          <w:ilvl w:val="0"/>
          <w:numId w:val="2"/>
        </w:numPr>
        <w:spacing w:after="60" w:line="276"/>
      </w:pPr>
      <w:r>
        <w:rPr>
          <w:sz w:val="21"/>
          <w:szCs w:val="21"/>
        </w:rPr>
        <w:t xml:space="preserve">Proveedores de servicios informáticos que alojan el formulario de solicitud y los sistemas asociados</w:t>
      </w:r>
    </w:p>
    <w:p>
      <w:pPr>
        <w:pStyle w:val="ListParagraph"/>
        <w:numPr>
          <w:ilvl w:val="0"/>
          <w:numId w:val="2"/>
        </w:numPr>
        <w:spacing w:after="60" w:line="276"/>
      </w:pPr>
      <w:r>
        <w:rPr>
          <w:sz w:val="21"/>
          <w:szCs w:val="21"/>
        </w:rPr>
        <w:t xml:space="preserve">Proveedores de servicios bancarios/de pago, únicamente para ejecutar el pago del Cashback</w:t>
      </w:r>
    </w:p>
    <w:p>
      <w:pPr>
        <w:pStyle w:val="ListParagraph"/>
        <w:numPr>
          <w:ilvl w:val="0"/>
          <w:numId w:val="2"/>
        </w:numPr>
        <w:spacing w:after="60" w:line="276"/>
      </w:pPr>
      <w:r>
        <w:rPr>
          <w:sz w:val="21"/>
          <w:szCs w:val="21"/>
        </w:rPr>
        <w:t xml:space="preserve">Autoridades públicas, cuando la ley lo exija, o asesores profesionales, cuando sea necesario para investigar un fraude (véase el Artículo 7.5 de los Términos y Condiciones)</w:t>
      </w:r>
    </w:p>
    <w:p>
      <w:pPr>
        <w:spacing w:after="160" w:line="276"/>
      </w:pPr>
      <w:r>
        <w:rPr>
          <w:sz w:val="21"/>
          <w:szCs w:val="21"/>
        </w:rPr>
        <w:t xml:space="preserve">Los distribuidores, concesionarios e instaladores no tienen acceso a los datos de la solicitud del Cliente Final y no son destinatarios del Cashback.</w:t>
      </w:r>
    </w:p>
    <w:p>
      <w:pPr>
        <w:pStyle w:val="Heading1"/>
        <w:spacing w:after="120" w:before="280"/>
      </w:pPr>
      <w:r>
        <w:rPr>
          <w:b/>
          <w:bCs/>
          <w:color w:val="5A8F29"/>
          <w:sz w:val="26"/>
          <w:szCs w:val="26"/>
        </w:rPr>
        <w:t xml:space="preserve">5. Conservación de los datos</w:t>
      </w:r>
    </w:p>
    <w:p>
      <w:pPr>
        <w:spacing w:after="160" w:line="276"/>
      </w:pPr>
      <w:r>
        <w:rPr>
          <w:sz w:val="21"/>
          <w:szCs w:val="21"/>
        </w:rPr>
        <w:t xml:space="preserve">La campaña de Cashback no genera una factura (véase el Artículo 2 de los Términos y Condiciones de la Campaña: el Cashback «no constituye un descuento, rebaja o reducción de precio en ninguna factura»). No obstante, se trata de un pago directo realizado por Dynaco Europe, que debe quedar justificado en su contabilidad. Conforme al derecho contable y fiscal belga, Dynaco Europe debe conservar los justificantes de dicho pago durante un mínimo de siete (7) años. Una vez que esta obligación legal es la única finalidad restante del tratamiento, el principio de limitación del plazo de conservación del RGPD (Artículo 5(1)(e) RGPD) exige la supresión de los datos, lo que convierte los siete (7) años en el límite máximo efectivo de conservación de estos datos, y no en un plazo fijado por el propio RGPD.</w:t>
      </w:r>
    </w:p>
    <w:p>
      <w:pPr>
        <w:spacing w:after="160" w:line="276"/>
      </w:pPr>
      <w:r>
        <w:rPr>
          <w:sz w:val="21"/>
          <w:szCs w:val="21"/>
        </w:rPr>
        <w:t xml:space="preserve">El expediente completo de la solicitud —datos de identificación, datos de pago (IBAN, BIC, nombre del titular de la cuenta), los números de serie de ambas puertas y las dos fotografías— se conserva como un único expediente durante este período, en lugar de eliminar campos individuales en momentos distintos. Esto se debe a que cada elemento sirve como prueba justificativa del mismo pago: los datos de identificación y de pago acreditan a quién se pagó y qué importe, mientras que los números de serie y las fotografías acreditan por qué el pago estaba justificado. Mantener el expediente íntegro también respalda la capacidad de Dynaco Europe para detectar, investigar y recuperar un Cashback pagado indebidamente conforme al Artículo 7.5 de los Términos y Condiciones de la Campaña, que no establece un plazo propio.</w:t>
      </w:r>
    </w:p>
    <w:p>
      <w:pPr>
        <w:spacing w:after="160" w:line="276"/>
      </w:pPr>
      <w:r>
        <w:rPr>
          <w:sz w:val="21"/>
          <w:szCs w:val="21"/>
        </w:rPr>
        <w:t xml:space="preserve">Por tanto, los expedientes de solicitud de Cashback se conservan durante siete (7) años a partir de la fecha de pago o, en caso de rechazo de la solicitud, a partir de la fecha de dicho rechazo. Una vez transcurrido este plazo, los datos se eliminan o se anonimizan de forma irreversible, salvo que la legislación aplicable exija un plazo mayor.</w:t>
      </w:r>
    </w:p>
    <w:p>
      <w:pPr>
        <w:pStyle w:val="Heading1"/>
        <w:spacing w:after="120" w:before="280"/>
      </w:pPr>
      <w:r>
        <w:rPr>
          <w:b/>
          <w:bCs/>
          <w:color w:val="5A8F29"/>
          <w:sz w:val="26"/>
          <w:szCs w:val="26"/>
        </w:rPr>
        <w:t xml:space="preserve">6. Transferencias internacionales</w:t>
      </w:r>
    </w:p>
    <w:p>
      <w:pPr>
        <w:spacing w:after="160" w:line="276"/>
      </w:pPr>
      <w:r>
        <w:rPr>
          <w:sz w:val="21"/>
          <w:szCs w:val="21"/>
        </w:rPr>
        <w:t xml:space="preserve">Los datos personales se tratan dentro del Espacio Económico Europeo. Cuando los datos se transfieran a un encargado del tratamiento o a una empresa del grupo situada fuera del EEE, Dynaco Europe aplicará las garantías adecuadas, conforme a su Política de Privacidad general.</w:t>
      </w:r>
    </w:p>
    <w:p>
      <w:pPr>
        <w:pStyle w:val="Heading1"/>
        <w:spacing w:after="120" w:before="280"/>
      </w:pPr>
      <w:r>
        <w:rPr>
          <w:b/>
          <w:bCs/>
          <w:color w:val="5A8F29"/>
          <w:sz w:val="26"/>
          <w:szCs w:val="26"/>
        </w:rPr>
        <w:t xml:space="preserve">7. Sus derechos</w:t>
      </w:r>
    </w:p>
    <w:p>
      <w:pPr>
        <w:spacing w:after="160" w:line="276"/>
      </w:pPr>
      <w:r>
        <w:rPr>
          <w:sz w:val="21"/>
          <w:szCs w:val="21"/>
        </w:rPr>
        <w:t xml:space="preserve">Sujeto a las condiciones establecidas en el RGPD, usted tiene derecho a:</w:t>
      </w:r>
    </w:p>
    <w:p>
      <w:pPr>
        <w:pStyle w:val="ListParagraph"/>
        <w:numPr>
          <w:ilvl w:val="0"/>
          <w:numId w:val="2"/>
        </w:numPr>
        <w:spacing w:after="60" w:line="276"/>
      </w:pPr>
      <w:r>
        <w:rPr>
          <w:sz w:val="21"/>
          <w:szCs w:val="21"/>
        </w:rPr>
        <w:t xml:space="preserve">Acceder a los datos personales que tenemos sobre usted</w:t>
      </w:r>
    </w:p>
    <w:p>
      <w:pPr>
        <w:pStyle w:val="ListParagraph"/>
        <w:numPr>
          <w:ilvl w:val="0"/>
          <w:numId w:val="2"/>
        </w:numPr>
        <w:spacing w:after="60" w:line="276"/>
      </w:pPr>
      <w:r>
        <w:rPr>
          <w:sz w:val="21"/>
          <w:szCs w:val="21"/>
        </w:rPr>
        <w:t xml:space="preserve">Solicitar la rectificación de datos inexactos</w:t>
      </w:r>
    </w:p>
    <w:p>
      <w:pPr>
        <w:pStyle w:val="ListParagraph"/>
        <w:numPr>
          <w:ilvl w:val="0"/>
          <w:numId w:val="2"/>
        </w:numPr>
        <w:spacing w:after="60" w:line="276"/>
      </w:pPr>
      <w:r>
        <w:rPr>
          <w:sz w:val="21"/>
          <w:szCs w:val="21"/>
        </w:rPr>
        <w:t xml:space="preserve">Solicitar la supresión de sus datos, cuando proceda</w:t>
      </w:r>
    </w:p>
    <w:p>
      <w:pPr>
        <w:pStyle w:val="ListParagraph"/>
        <w:numPr>
          <w:ilvl w:val="0"/>
          <w:numId w:val="2"/>
        </w:numPr>
        <w:spacing w:after="60" w:line="276"/>
      </w:pPr>
      <w:r>
        <w:rPr>
          <w:sz w:val="21"/>
          <w:szCs w:val="21"/>
        </w:rPr>
        <w:t xml:space="preserve">Solicitar la limitación del tratamiento, u oponerse al tratamiento basado en el interés legítimo</w:t>
      </w:r>
    </w:p>
    <w:p>
      <w:pPr>
        <w:pStyle w:val="ListParagraph"/>
        <w:numPr>
          <w:ilvl w:val="0"/>
          <w:numId w:val="2"/>
        </w:numPr>
        <w:spacing w:after="60" w:line="276"/>
      </w:pPr>
      <w:r>
        <w:rPr>
          <w:sz w:val="21"/>
          <w:szCs w:val="21"/>
        </w:rPr>
        <w:t xml:space="preserve">Solicitar la portabilidad de los datos, cuando proceda</w:t>
      </w:r>
    </w:p>
    <w:p>
      <w:pPr>
        <w:pStyle w:val="ListParagraph"/>
        <w:numPr>
          <w:ilvl w:val="0"/>
          <w:numId w:val="2"/>
        </w:numPr>
        <w:spacing w:after="60" w:line="276"/>
      </w:pPr>
      <w:r>
        <w:rPr>
          <w:sz w:val="21"/>
          <w:szCs w:val="21"/>
        </w:rPr>
        <w:t xml:space="preserve">Presentar una reclamación ante la Autoridad belga de Protección de Datos</w:t>
      </w:r>
    </w:p>
    <w:p>
      <w:pPr>
        <w:spacing w:after="160" w:line="276"/>
      </w:pPr>
      <w:r>
        <w:rPr>
          <w:sz w:val="21"/>
          <w:szCs w:val="21"/>
        </w:rPr>
        <w:t xml:space="preserve">Para ejercer estos derechos, contacte con privacy@dynacodoor.com (por correo postal: Dynaco Europe NV, Waverstraat 21, 9310 Moorsel, Bélgica). Es posible que debamos verificar su identidad antes de atender una solicitud.</w:t>
      </w:r>
    </w:p>
    <w:p>
      <w:pPr>
        <w:pStyle w:val="Heading1"/>
        <w:spacing w:after="120" w:before="280"/>
      </w:pPr>
      <w:r>
        <w:rPr>
          <w:b/>
          <w:bCs/>
          <w:color w:val="5A8F29"/>
          <w:sz w:val="26"/>
          <w:szCs w:val="26"/>
        </w:rPr>
        <w:t xml:space="preserve">8. Contacto</w:t>
      </w:r>
    </w:p>
    <w:p>
      <w:pPr>
        <w:spacing w:after="160" w:line="276"/>
      </w:pPr>
      <w:r>
        <w:rPr>
          <w:sz w:val="21"/>
          <w:szCs w:val="21"/>
        </w:rPr>
        <w:t xml:space="preserve">Para consultas sobre esta Política de Privacidad: privacy@dynacodoor.com. Para consultas sobre una solicitud de Cashback concreta: cashback@dynacodoor.com.</w:t>
      </w:r>
    </w:p>
    <w:p>
      <w:pPr>
        <w:pBdr>
          <w:top w:val="single" w:color="CCCCCC" w:sz="4" w:space="6"/>
        </w:pBdr>
        <w:spacing w:before="300"/>
      </w:pPr>
      <w:r>
        <w:rPr>
          <w:i/>
          <w:iCs/>
          <w:color w:val="666666"/>
          <w:sz w:val="16"/>
          <w:szCs w:val="16"/>
        </w:rPr>
        <w:t xml:space="preserve">Versión 1.0 — Español. Sujeta a la legislación belga, conforme al RGPD y a la Política de Privacidad general de Dynaco Europe NV.</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2"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2026-09-16T13:06:18.090Z</dcterms:created>
  <dcterms:modified xsi:type="dcterms:W3CDTF">2026-09-16T13:06:18.090Z</dcterms:modified>
</cp:coreProperties>
</file>

<file path=docProps/custom.xml><?xml version="1.0" encoding="utf-8"?>
<Properties xmlns="http://schemas.openxmlformats.org/officeDocument/2006/custom-properties" xmlns:vt="http://schemas.openxmlformats.org/officeDocument/2006/docPropsVTypes"/>
</file>